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7B" w:rsidRDefault="00543F7B" w:rsidP="00543F7B">
      <w:pPr>
        <w:spacing w:after="0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30.04.2021 г. № 106</w:t>
      </w:r>
    </w:p>
    <w:p w:rsidR="00543F7B" w:rsidRDefault="00543F7B" w:rsidP="00543F7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43F7B" w:rsidRDefault="00543F7B" w:rsidP="00543F7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43F7B" w:rsidRDefault="00543F7B" w:rsidP="00543F7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МУНИЦИПАЛЬНЫЙ РАЙОН</w:t>
      </w:r>
    </w:p>
    <w:p w:rsidR="00543F7B" w:rsidRDefault="00543F7B" w:rsidP="00543F7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543F7B" w:rsidRDefault="00543F7B" w:rsidP="00543F7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43F7B" w:rsidRDefault="00543F7B" w:rsidP="00543F7B">
      <w:pPr>
        <w:rPr>
          <w:color w:val="FF0000"/>
          <w:sz w:val="28"/>
          <w:szCs w:val="28"/>
        </w:rPr>
      </w:pPr>
    </w:p>
    <w:p w:rsidR="00543F7B" w:rsidRDefault="00543F7B" w:rsidP="00543F7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ОБ ИСПОЛНЕНИИ БЮДЖЕТА</w:t>
      </w:r>
    </w:p>
    <w:p w:rsidR="00543F7B" w:rsidRDefault="00543F7B" w:rsidP="00543F7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МУНИЦИПАЛЬНОГО ОБРАЗОВАНИЯ «ХОХОРСК»</w:t>
      </w:r>
    </w:p>
    <w:p w:rsidR="00543F7B" w:rsidRDefault="00543F7B" w:rsidP="00543F7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ЗА 2020 ГОД</w:t>
      </w:r>
    </w:p>
    <w:p w:rsidR="00543F7B" w:rsidRDefault="00543F7B" w:rsidP="00543F7B">
      <w:pPr>
        <w:jc w:val="both"/>
        <w:rPr>
          <w:rFonts w:ascii="Arial" w:hAnsi="Arial" w:cs="Arial"/>
          <w:sz w:val="26"/>
          <w:szCs w:val="26"/>
        </w:rPr>
      </w:pPr>
    </w:p>
    <w:p w:rsidR="00543F7B" w:rsidRDefault="00543F7B" w:rsidP="00543F7B">
      <w:pPr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Бюджетным процессом МО «Хохорск», Уставом МО «Хохорск», рассмотрев представленный отчет об исполнении бюджета муниципального образования, Дума</w:t>
      </w:r>
    </w:p>
    <w:p w:rsidR="00543F7B" w:rsidRDefault="00543F7B" w:rsidP="00543F7B">
      <w:pPr>
        <w:ind w:firstLine="51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543F7B" w:rsidRDefault="00543F7B" w:rsidP="00543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отчет об исполнении бюджета муниципального образования «Хохорск» за 2020 год:</w:t>
      </w:r>
    </w:p>
    <w:p w:rsidR="00543F7B" w:rsidRDefault="00543F7B" w:rsidP="00543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 доходам бюджета муниципального образования в сумме 21 765 632,74 руб. согласно приложению №1.</w:t>
      </w:r>
    </w:p>
    <w:p w:rsidR="00543F7B" w:rsidRDefault="00543F7B" w:rsidP="00543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муниципального образования по разделам, подразделам, целевым статьям, видам расходов классификации расходов в сумме 23 078 976,45  руб. согласно приложению №2.</w:t>
      </w:r>
    </w:p>
    <w:p w:rsidR="00543F7B" w:rsidRDefault="00543F7B" w:rsidP="00543F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опубликовать в Вестнике МО «Хохорск» и разместить на официальном сайте администрации МО «Боханский район».</w:t>
      </w:r>
    </w:p>
    <w:p w:rsidR="00543F7B" w:rsidRDefault="00543F7B" w:rsidP="00543F7B">
      <w:pPr>
        <w:jc w:val="both"/>
        <w:rPr>
          <w:rFonts w:ascii="Arial" w:hAnsi="Arial" w:cs="Arial"/>
          <w:sz w:val="24"/>
          <w:szCs w:val="24"/>
        </w:rPr>
      </w:pPr>
    </w:p>
    <w:p w:rsidR="00543F7B" w:rsidRDefault="00543F7B" w:rsidP="00543F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543F7B" w:rsidRDefault="00543F7B" w:rsidP="00543F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543F7B" w:rsidRDefault="00543F7B" w:rsidP="00543F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В.А.Барлуков</w:t>
      </w:r>
      <w:proofErr w:type="spellEnd"/>
    </w:p>
    <w:p w:rsidR="00543F7B" w:rsidRDefault="00543F7B" w:rsidP="00543F7B">
      <w:pPr>
        <w:rPr>
          <w:sz w:val="28"/>
          <w:szCs w:val="28"/>
        </w:rPr>
      </w:pPr>
    </w:p>
    <w:p w:rsidR="00543F7B" w:rsidRDefault="00543F7B" w:rsidP="00543F7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43F7B" w:rsidRDefault="00543F7B" w:rsidP="00543F7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43F7B" w:rsidRDefault="00543F7B" w:rsidP="00543F7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43F7B" w:rsidRDefault="00543F7B" w:rsidP="00543F7B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43F7B" w:rsidRDefault="00543F7B" w:rsidP="00543F7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ПОЯСНИТЕЛЬНАЯ ЗАПИСКА </w:t>
      </w:r>
    </w:p>
    <w:p w:rsidR="00543F7B" w:rsidRDefault="00543F7B" w:rsidP="00543F7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 ОТЧЕТУ ОБ ИСПОЛНЕНИИ БЮДЖЕТА</w:t>
      </w:r>
    </w:p>
    <w:p w:rsidR="00543F7B" w:rsidRDefault="00543F7B" w:rsidP="00543F7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МО «ХОХОРСК» ЗА 2020 ГОД </w:t>
      </w:r>
      <w:r>
        <w:rPr>
          <w:rFonts w:ascii="Arial" w:hAnsi="Arial" w:cs="Arial"/>
          <w:b/>
          <w:sz w:val="24"/>
          <w:szCs w:val="24"/>
        </w:rPr>
        <w:br/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Доходы бюджета исполнены в сумме 21765,6 тыс. рублей (из них 76,3 %, или 16619,3 тыс. рублей - безвозмездные поступления) расходы – в сумме 23078,9 тыс. рублей с дефицитом в сумме 1313,3 тыс. рублей. 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Годовые бюджетные назначения по доходам исполнены на 99%, по расходам – 97%.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По сравнению с уровнем 2019 года доходы поселения уменьшились на 721,3 тыс. рублей или на 3,3%, в основном за счет уменьшения акцизов по подакцизным товарам (продукции), производимым на территории РФ на 7,7 тыс. рублей, налога на совокупный доход на 84,6 тыс. рублей или на 25,6% , доходов от использования имущества на 528,8 тыс. рублей или на 50,7%.</w:t>
      </w:r>
      <w:proofErr w:type="gramEnd"/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43F7B" w:rsidRDefault="00543F7B" w:rsidP="00543F7B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Доходы бюджета поселения за 2020 год</w:t>
      </w:r>
    </w:p>
    <w:p w:rsidR="00543F7B" w:rsidRDefault="00543F7B" w:rsidP="00543F7B">
      <w:pPr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 поступивших доходов в бюджет поселения налоговые и неналоговые доходы составили всего 23,6% (5146,4 тыс. рублей), безвозмездные поступления – 76,3% 9 (16619,3 тыс. рублей).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Основными источниками поступлений в структуре налоговых и неналоговых доходов поселения являются акцизы по подакцизным товарам (продукции), производимым на территории РФ – 2406,7 тыс. рублей (46,7%),  налог на имущество – 1340,8 тыс. рублей (26,0%),  налог на совокупный доход  - 246,6 тыс. рублей  (4,7%),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доходы от продажи материальных и нематериальных активов – 73,3 тыс. рублей (1,4%),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доходы от использования имущества находящегося в государственной и муниципальной собственности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- 514,3 тыс. рублей (9,9%), налог на доходы физических лиц – 547,8  тыс. руб. (10,6%).</w:t>
      </w:r>
    </w:p>
    <w:p w:rsidR="00543F7B" w:rsidRDefault="00543F7B" w:rsidP="00543F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</w:t>
      </w:r>
    </w:p>
    <w:p w:rsidR="00543F7B" w:rsidRDefault="00543F7B" w:rsidP="00543F7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Исполнение бюджета по доходам за 2020 год представлено в таблице.</w:t>
      </w:r>
    </w:p>
    <w:p w:rsidR="00543F7B" w:rsidRDefault="00543F7B" w:rsidP="00543F7B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ab/>
        <w:t>(тыс. рублей)</w:t>
      </w:r>
    </w:p>
    <w:p w:rsidR="00543F7B" w:rsidRDefault="00543F7B" w:rsidP="00543F7B">
      <w:pPr>
        <w:spacing w:after="0" w:line="240" w:lineRule="auto"/>
        <w:ind w:firstLine="567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1276"/>
        <w:gridCol w:w="1275"/>
        <w:gridCol w:w="1418"/>
        <w:gridCol w:w="1449"/>
        <w:gridCol w:w="1103"/>
      </w:tblGrid>
      <w:tr w:rsidR="00543F7B" w:rsidTr="005F3AA5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bookmarkStart w:id="0" w:name="_Hlk416342274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Бюджет в редакции решений Думы МО «Хохорск»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Отклонение уточненной редакции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первоначальной  </w:t>
            </w:r>
          </w:p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гр.3-гр.2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Исполнение 2020 год</w:t>
            </w:r>
          </w:p>
        </w:tc>
      </w:tr>
      <w:tr w:rsidR="00543F7B" w:rsidTr="005F3AA5">
        <w:tc>
          <w:tcPr>
            <w:tcW w:w="9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24.12.2019г. №68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26.12.2020г. №99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Исполнение на 01.01.2021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543F7B" w:rsidTr="005F3AA5">
        <w:tc>
          <w:tcPr>
            <w:tcW w:w="9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</w:tr>
      <w:bookmarkEnd w:id="0"/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4622,0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5244,0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622,0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5146,4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405,0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547,0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142,0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547,8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2695,0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2508,9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-186,1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2406,7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96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Налоги на совокупный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246,5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-166,5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rPr>
          <w:trHeight w:val="3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246,5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-166,5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246,6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Налог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765,0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1337,0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572,0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1340,8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84,0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164,5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488,0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1176,3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-2,0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514,5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-55,5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514,3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-27,0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Доходы от продажи земельных участков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-27,0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-3,9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rPr>
          <w:trHeight w:val="42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Безвозмездные поступления,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15305,6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16619,3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1313,7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16619,3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13283,9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14340,1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1056,2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14340,1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1672,1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1672,1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-591,9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1792,1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107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349,6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377,7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377,7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109,4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19927,6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21863,3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1935,7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21765,6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20158,7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23682,2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3523,5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23078,9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97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ДЕФИЦИТ, ПРОФИЦИТ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(-, +)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     231,1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1818,9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1587,8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1313,3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72</w:t>
            </w:r>
          </w:p>
        </w:tc>
      </w:tr>
      <w:tr w:rsidR="00543F7B" w:rsidTr="005F3AA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Дефицит, % от объема доходов без учета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</w:tbl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 2020 год поступило доходов в бюджет поселения в сумме 21765,6 тыс. рублей или 99% от плановых назначений,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из них налоговых доходов бюджета в сумме 4541,9 тыс. рублей или 97,8% от плановых назначений, неналоговых доходов бюджета в сумме 604,5 или 100% от плановых назначений.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Структура доходов бюджета за 2020 год показана на диаграмме.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noProof/>
          <w:color w:val="FF0000"/>
        </w:rPr>
        <w:drawing>
          <wp:inline distT="0" distB="0" distL="0" distR="0" wp14:anchorId="20082CCB" wp14:editId="74AB1C6B">
            <wp:extent cx="5924550" cy="174307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Размер налоговых доходов – 4541,9 тыс. рублей (удельный вес в объеме собственных доходов – 88,2%, в объеме всех доходов поселения – 20,8%).</w:t>
      </w:r>
    </w:p>
    <w:p w:rsidR="00543F7B" w:rsidRDefault="00543F7B" w:rsidP="00543F7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Доля неналоговых доходов в собственных доходах поселения составляет 11,7%, или 604,5 тыс. рублей,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 объеме всех доходов поселения – 2,7%.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Наибольший удельный вес 76,3% в структуре доходов МО «Хохорск» составляют межбюджетные трансферты, полученные в 2020 году из областного бюджета и бюджета муниципального образования «Боханский район».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</w:p>
    <w:p w:rsidR="00543F7B" w:rsidRDefault="00543F7B" w:rsidP="00543F7B">
      <w:pPr>
        <w:spacing w:after="0" w:line="240" w:lineRule="auto"/>
        <w:ind w:firstLine="567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Налоговые доходы.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В 2020 году поступило налоговых доходов в сумме 4541,9 тыс. рублей, или 97,8% от плановых назначений.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Основную долю налоговых поступлений составляют акцизы по подакцизным товарам (продукции), производимым на территории РФ –2406,7 тыс. рублей, или 46,7%, </w:t>
      </w:r>
      <w:r>
        <w:rPr>
          <w:rFonts w:ascii="Arial" w:hAnsi="Arial" w:cs="Arial"/>
          <w:color w:val="000000"/>
          <w:sz w:val="24"/>
          <w:szCs w:val="24"/>
        </w:rPr>
        <w:t xml:space="preserve">налог на имущество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– 1340,8тыс.      рублей, или 26,0%, земельный налог за год поступил в объеме </w:t>
      </w:r>
      <w:r>
        <w:rPr>
          <w:rFonts w:ascii="Arial" w:hAnsi="Arial" w:cs="Arial"/>
          <w:color w:val="000000"/>
          <w:sz w:val="24"/>
          <w:szCs w:val="24"/>
        </w:rPr>
        <w:t xml:space="preserve">1176,3 тыс. рублей или 22,8%, налог на совокупный доход – 246,6 тыс. руб.  или 4,7%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от поступивших налоговых доходов.</w:t>
      </w:r>
      <w:proofErr w:type="gramEnd"/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Объем поступлений налога на доходы физических лиц запланирован в объеме 547,8 тыс. рублей или 100%.</w:t>
      </w:r>
    </w:p>
    <w:p w:rsidR="00543F7B" w:rsidRDefault="00543F7B" w:rsidP="00543F7B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</w:t>
      </w:r>
    </w:p>
    <w:p w:rsidR="00543F7B" w:rsidRDefault="00543F7B" w:rsidP="00543F7B">
      <w:pPr>
        <w:spacing w:after="0" w:line="240" w:lineRule="auto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                                              Неналоговые доходы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В  2020 году поступило неналоговых доходов в сумме 604,5 тыс. рублей, или 100% от плановых назначений. Основную долю неналоговых поступлений</w:t>
      </w:r>
      <w:r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            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составляют доходы от использования имущества находящегося в государственной и муниципальной собственности, составили 514,3 тыс. рублей, или 100% от плановых назначений.</w:t>
      </w:r>
    </w:p>
    <w:p w:rsidR="00543F7B" w:rsidRDefault="00543F7B" w:rsidP="00543F7B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FF0000"/>
          <w:sz w:val="24"/>
          <w:szCs w:val="24"/>
          <w:lang w:eastAsia="en-US"/>
        </w:rPr>
        <w:t xml:space="preserve">        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 xml:space="preserve">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>Безвозмездные поступления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Безвозмездные поступления в общем объеме доходов бюджета МО «Хохорск» составили 76,3% (16619,3 тыс. рублей).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 состоянию на 1 января 2021 года доходы бюджета поселения по группе «Безвозмездные поступления» исполнены в сумме 16619,3 тыс. рублей или 100% от плановых поступлений. Снижение по отношению к 2019 году на 1,3% или на 214,6 тыс. рублей. 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Безвозмездные поступления составили 16619,3 тыс. рублей, в том числе: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дотация бюджетам сельских поселений на выравнивание бюджетной обеспеченности – 14340,1 тыс. рублей, или 100% к плану;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 – 591,.9 тыс. рублей, или 107% к плану;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субвенции бюджетам субъектов Российской Федерации и муниципальных образований поступило 377,7 тыс. рублей или 100%.</w:t>
      </w:r>
    </w:p>
    <w:p w:rsidR="00543F7B" w:rsidRDefault="00543F7B" w:rsidP="00543F7B">
      <w:pPr>
        <w:tabs>
          <w:tab w:val="left" w:pos="0"/>
        </w:tabs>
        <w:spacing w:after="0" w:line="240" w:lineRule="auto"/>
        <w:ind w:firstLine="567"/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 xml:space="preserve">               </w:t>
      </w:r>
    </w:p>
    <w:p w:rsidR="00543F7B" w:rsidRDefault="00543F7B" w:rsidP="00543F7B">
      <w:pPr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>Расходы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бюджета поселения за 2020 год</w:t>
      </w:r>
    </w:p>
    <w:p w:rsidR="00543F7B" w:rsidRDefault="00543F7B" w:rsidP="00543F7B">
      <w:pPr>
        <w:tabs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01.01.2021 расходы бюджета поселения составили 23078,9 тыс. рублей при плановых назначениях 23682,2 рублей, или 97%.</w:t>
      </w:r>
    </w:p>
    <w:p w:rsidR="00543F7B" w:rsidRDefault="00543F7B" w:rsidP="00543F7B">
      <w:pPr>
        <w:spacing w:after="0" w:line="240" w:lineRule="auto"/>
        <w:ind w:firstLine="567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(тыс. рублей)</w:t>
      </w:r>
    </w:p>
    <w:tbl>
      <w:tblPr>
        <w:tblW w:w="966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68"/>
        <w:gridCol w:w="992"/>
        <w:gridCol w:w="1135"/>
        <w:gridCol w:w="1277"/>
        <w:gridCol w:w="994"/>
        <w:gridCol w:w="994"/>
      </w:tblGrid>
      <w:tr w:rsidR="00543F7B" w:rsidTr="005F3AA5">
        <w:trPr>
          <w:cantSplit/>
          <w:trHeight w:val="126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Бюджет поселения на 2020 год </w:t>
            </w:r>
          </w:p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Исполнено на 01.01.2021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% исп. к плану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Уд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ес </w:t>
            </w:r>
          </w:p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в %</w:t>
            </w:r>
          </w:p>
        </w:tc>
      </w:tr>
      <w:tr w:rsidR="00543F7B" w:rsidTr="005F3AA5">
        <w:trPr>
          <w:trHeight w:val="3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F7B" w:rsidRDefault="00543F7B" w:rsidP="005F3AA5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23682,2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23078,9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543F7B" w:rsidTr="005F3AA5">
        <w:trPr>
          <w:trHeight w:val="25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«Общегосударственные вопросы»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9542,2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8942,8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38,7</w:t>
            </w:r>
          </w:p>
        </w:tc>
      </w:tr>
      <w:tr w:rsidR="00543F7B" w:rsidTr="005F3AA5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1719,9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1571,5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43F7B" w:rsidTr="005F3AA5">
        <w:trPr>
          <w:trHeight w:val="25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F7B" w:rsidRDefault="00543F7B" w:rsidP="005F3AA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«Функционирование Правительства РФ, высших исполнительных органов государственной власти субъектов, местных администраций»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7791,6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7370,6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43F7B" w:rsidTr="005F3AA5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«Резервные фонды местных администраций»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43F7B" w:rsidTr="005F3AA5">
        <w:trPr>
          <w:trHeight w:val="39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«Другие общегосударственные вопросы»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43F7B" w:rsidTr="005F3AA5">
        <w:trPr>
          <w:trHeight w:val="32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«Национальная оборона»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1,5</w:t>
            </w:r>
          </w:p>
        </w:tc>
      </w:tr>
      <w:tr w:rsidR="00543F7B" w:rsidTr="005F3AA5">
        <w:trPr>
          <w:trHeight w:val="322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«Мобилизационная и вневойсковая подготовка»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43F7B" w:rsidTr="005F3AA5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«Национальная экономика»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5990,1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3236,9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14,0</w:t>
            </w:r>
          </w:p>
        </w:tc>
      </w:tr>
      <w:tr w:rsidR="00543F7B" w:rsidTr="005F3AA5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«Общеэкономические вопросы»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43F7B" w:rsidTr="005F3AA5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«Дорожное хозяйство (дорожные фонды)»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3195,4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3195,2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543F7B" w:rsidTr="005F3AA5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Жилищно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- коммунальное хозяйство»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2753,0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11,9</w:t>
            </w:r>
          </w:p>
        </w:tc>
      </w:tr>
      <w:tr w:rsidR="00543F7B" w:rsidTr="005F3AA5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>«Коммунальное хозяйство»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1614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6,9</w:t>
            </w:r>
          </w:p>
        </w:tc>
      </w:tr>
      <w:tr w:rsidR="00543F7B" w:rsidTr="005F3AA5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«Благоустройство»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1138,3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5,0</w:t>
            </w:r>
          </w:p>
        </w:tc>
      </w:tr>
      <w:tr w:rsidR="00543F7B" w:rsidTr="005F3AA5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«Культура, кинематография»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7645,3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33,2</w:t>
            </w:r>
          </w:p>
        </w:tc>
      </w:tr>
      <w:tr w:rsidR="00543F7B" w:rsidTr="005F3AA5">
        <w:trPr>
          <w:trHeight w:val="28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«Культура»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7645,3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33,2</w:t>
            </w:r>
          </w:p>
        </w:tc>
      </w:tr>
      <w:tr w:rsidR="00543F7B" w:rsidTr="005F3AA5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 xml:space="preserve">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0,7</w:t>
            </w:r>
          </w:p>
        </w:tc>
      </w:tr>
      <w:tr w:rsidR="00543F7B" w:rsidTr="005F3AA5">
        <w:trPr>
          <w:trHeight w:val="27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3F7B" w:rsidRDefault="00543F7B" w:rsidP="005F3AA5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«Иные межбюджетные трансферты»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165,6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F7B" w:rsidRDefault="00543F7B" w:rsidP="005F3AA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:rsidR="00543F7B" w:rsidRDefault="00543F7B" w:rsidP="00543F7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3F7B" w:rsidRDefault="00543F7B" w:rsidP="00543F7B">
      <w:pPr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При исполнении бюджета наибольший удельный вес 38,7% в структуре расходов МО «Хохорск» составляют расходы по разделу 0100 «Общегосударственные вопросы», 33,2% по разделу 0800 «Культура, кинематография. Структура расходов бюджета МО за 2020 год приведена на диаграмме.</w:t>
      </w:r>
      <w:r>
        <w:rPr>
          <w:noProof/>
          <w:color w:val="FF0000"/>
        </w:rPr>
        <w:drawing>
          <wp:inline distT="0" distB="0" distL="0" distR="0" wp14:anchorId="1249AB78" wp14:editId="2F43DDA8">
            <wp:extent cx="5905500" cy="33242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По состоянию на 01.01.2021 по разделу 0100 «Общегосударственные вопросы» исполнение по расходам составило 8942,8 тыс. рублей, или 94% от плановых назначений, по разделу 0800 «Культура, кинематография» исполнение составило 7645,3 тыс. рублей, или 100% от плановых назначений, по разделу «Национальная экономика» исполнение составило 3 236,9 тыс. рублей, или 54% от плановых назначений, по разделу 0500 «Жилищно-коммунальное хозяйство»  исполнение составило 2753,0 тыс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рублей, или 100% от плановых назначений, по разделу «Национальная оборона» исполнение составило 335,3 тыс. рублей, или 100% от плановых назначений, по разделу «Межбюджетные трансферты» исполнение составило 165,6 тыс. рублей, или 100% от плановых назначений.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разделу 0100 «Общегосударственные вопросы», подразделу 0102 «Функционирование высшего должностного лица субъекта РФ и муниципального образования» </w:t>
      </w:r>
      <w:r>
        <w:rPr>
          <w:rFonts w:ascii="Arial" w:hAnsi="Arial" w:cs="Arial"/>
          <w:color w:val="000000"/>
          <w:sz w:val="24"/>
          <w:szCs w:val="24"/>
        </w:rPr>
        <w:t>при плане 1719,9 тыс. рублей израсходовано 1571,5 тыс. рублей, или 91%, в том числе на оплату труда (КВР 121) – 1207,3тыс. рублей, начисления на оплату труда (КВР 129) – 364,2 тыс. рублей.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        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color w:val="000000"/>
          <w:sz w:val="24"/>
          <w:szCs w:val="24"/>
        </w:rPr>
        <w:t>По подразделу 0104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«Функционирование Правительства РФ, высших исполнительных органов государственной власти субъектов, местных администраций»</w:t>
      </w:r>
      <w:r>
        <w:rPr>
          <w:rFonts w:ascii="Arial" w:hAnsi="Arial" w:cs="Arial"/>
          <w:color w:val="000000"/>
          <w:sz w:val="24"/>
          <w:szCs w:val="24"/>
        </w:rPr>
        <w:t xml:space="preserve"> при плане 7791,6 тыс. рублей израсходовано 7370,6   тыс. рублей, или 95%, в том числе на оплату труда (КВР 121) – 4660,1 тыс. рублей, начисления на оплату труда (КВР 129) – 1407,1тыс. рублей, оплата налогов, сборов и иных платежей (КВР 850) – 167,9 тыс. рублей, (КВР 244) – 1135,5 тыс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рублей.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Расходы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по подразделу 0111 «Резервные фонды» 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План составил 30,0 тыс. рублей, что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или 0,1% от общего объема расходов. 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Использования средств резервного фонда в 2020 году не было.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43F7B" w:rsidRDefault="00543F7B" w:rsidP="00543F7B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подразделу 0113 «Другие общегосударственные вопросы»</w:t>
      </w:r>
      <w:r>
        <w:rPr>
          <w:rFonts w:ascii="Arial" w:hAnsi="Arial" w:cs="Arial"/>
          <w:color w:val="000000"/>
          <w:sz w:val="24"/>
          <w:szCs w:val="24"/>
        </w:rPr>
        <w:t xml:space="preserve"> при плане 0,7 тыс. рублей израсходовано 0,7 тыс. рублей, или 100%, в том числе на прочие закупки товаров, работ и услуг для обеспечения государственных (муниципальных) нужд (КВР 244) – 0,7 тыс. рублей.</w:t>
      </w:r>
    </w:p>
    <w:p w:rsidR="00543F7B" w:rsidRDefault="00543F7B" w:rsidP="00543F7B">
      <w:pPr>
        <w:spacing w:after="0" w:line="240" w:lineRule="auto"/>
        <w:ind w:firstLine="56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разделу 0200 «Национальная оборона», подразделу 03 «Мобилизационная и вневойсковая подготовка»  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Исполнено в размере 335,3 тыс. рублей, в том числе на оплату труда (КВР 121) – 249,3 тыс. рублей, начисления на оплату труда (КВР 129) – 75,3 тыс. рублей, прочие закупки товаров, работ и услуг для обеспечения государственных (муниципальных) нужд (КВР 244) – 10,7 тыс. рублей.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.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разделу 04 «Национальная экономика», подразделу 01 «Общеэкономические вопросы» 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Исполнено в сумме 41,7 тыс. рублей (100%), в том числе на оплату труда (КВР 121) – 30,7 тыс. рублей, начисления на оплату труда (КВР 129) – 9,3 тыс. рублей, прочие закупки товаров, работ и услуг для обеспечения государственных (муниципальных) нужд (КВР 244) – 1,7 тыс. рублей.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 подразделу 09 «Дорожное хозяйство (дорожные фонды)»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Исполнено в сумме 3195,2 тыс. рублей (100%) на ремонт дороги (КВР 244) – 3195,2 тыс. рублей и произведены за счет доходов от акцизов на нефтепродукты.</w:t>
      </w:r>
    </w:p>
    <w:p w:rsidR="00543F7B" w:rsidRDefault="00543F7B" w:rsidP="00543F7B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- Заключен договор №09-09/20 от 09.09.2020г.  на сумму 197,2 тыс. рублей с ООО «СНаБ38» по изготовлению остановочного пункта в количестве 4 штук размером 3500х1500х2400 каждый. 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По договору №3 от 02.11.2020 на сумму 132,0 тыс. рублей с ИП Коваленко Н.А.  на работы по исправлению профиля гравийной дороги с добавлением щебня по адресу: д.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Ижилха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ул. Гагарина – 600 м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..</w:t>
      </w:r>
      <w:proofErr w:type="gramEnd"/>
    </w:p>
    <w:p w:rsidR="00543F7B" w:rsidRDefault="00543F7B" w:rsidP="00543F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- По договору от 02.11.2020 без номера с ИП Коваленко Н.А. по поставке щебня для ремонта дорог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Ьв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сумме 467,7 тыс. рублей.</w:t>
      </w:r>
    </w:p>
    <w:p w:rsidR="00543F7B" w:rsidRDefault="00543F7B" w:rsidP="00543F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- По договору без номера от 24.08.2020г. с ИП Коваленко Н.А. за щебень для ремонта дорог в сумме 599,0 тыс. рублей.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По договору №2от 24.08.2020 на сумму 180,0 тыс. рублей с ИП Коваленко Н.А. произведена оплата за работу по исправлению профиля гравийной дороги с добавлением щебня по адресу: д.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Русиновка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ул. Школьная – 200м. 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- По договору без номера от 20.05.2020 на сумму 574,3 тыс. рублей с ИП Коваленко Н.А. на работы по исправлению профиля гравийной дороги с добавлением щебня по адресу: д.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Ижилха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ул. Набережная 200м. д. Шунта, ул. Школьная 300м., д.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Новоскресенка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ул.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Немская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650м. 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-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По муниципальному контракту №001 от 19.05.2020 на сумму 885,05 тыс. рублей с ИП Коваленко Н.А. на закупку инертных материалов (щебень) (протокол проведения электронного аукциона от 08.05.2020г. № 0134300073820000048) 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Исполнение по расходам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по разделу 05 «Жилищно-коммунальное хозяйство», подразделу 02 «Коммунальное хозяйство» </w:t>
      </w:r>
      <w:r>
        <w:rPr>
          <w:rFonts w:ascii="Arial" w:hAnsi="Arial" w:cs="Arial"/>
          <w:color w:val="000000"/>
          <w:sz w:val="24"/>
          <w:szCs w:val="24"/>
        </w:rPr>
        <w:t>составило 1614,7 тыс. рублей, или 100% от плана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</w:rPr>
        <w:t>в том числе на прочие закупки товаров, работ и услуг для обеспечения государственных (муниципальных) нужд (КВР 244) –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1352,3 тыс. рублей, на исполнение судебных актов (КВР 830) - 262,3 тыс. рублей.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543F7B" w:rsidRDefault="00543F7B" w:rsidP="00543F7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В рамках реализации мероприятий перечня народных инициатив заключено соглашение о предоставлении в 2020 году субсидий из областного бюджета  №05-62-37/20-12 от 12.02.2020г.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МО «Хохорск» от 15.01.2020г. №7 определен перечень народных инициатив на 2020 год на общую сумму 1102300,0 рублей, в том числе за счет местного бюджета в сумме 22100,0 рублей, из областного бюджета – 1080200,0 рублей. На текущий ремонт водонапорной башни, бурение скважины в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.Х</w:t>
      </w:r>
      <w:proofErr w:type="gramEnd"/>
      <w:r>
        <w:rPr>
          <w:rFonts w:ascii="Arial" w:hAnsi="Arial" w:cs="Arial"/>
          <w:color w:val="000000"/>
          <w:sz w:val="24"/>
          <w:szCs w:val="24"/>
        </w:rPr>
        <w:t>охорск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ул. Ленина 47Г 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подразделу 0503 «Благоустройство» </w:t>
      </w:r>
      <w:r>
        <w:rPr>
          <w:rFonts w:ascii="Arial" w:hAnsi="Arial" w:cs="Arial"/>
          <w:color w:val="000000"/>
          <w:sz w:val="24"/>
          <w:szCs w:val="24"/>
        </w:rPr>
        <w:t>исполнение составило 1138,3 тыс. рублей, или 100% от плановых назначений (1138,3 тыс. рублей), в том числе на прочие закупки товаров, работ и услуг для обеспечения государственных (муниципальных) нужд (КВР 244) – 1138,3 тыс. рублей.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разделу 08 «Культура, кинематография», подразделу 01 «Культура» </w:t>
      </w:r>
      <w:r>
        <w:rPr>
          <w:rFonts w:ascii="Arial" w:hAnsi="Arial" w:cs="Arial"/>
          <w:color w:val="000000"/>
          <w:sz w:val="24"/>
          <w:szCs w:val="24"/>
        </w:rPr>
        <w:t xml:space="preserve">утверждено на 2020 год средства в размере 7649,0 тыс. рублей, исполнение 7645,3тыс. рублей, или 100% от плановых назначений. Удельный вес расходов на культуру в общем объеме расходов бюджета составляет 33,2%. По данному разделу отражена сумма предоставленной субсидии бюджетному учреждению культуры (сельский дом культуры МО «Хохорск») (КВР 610) в сумме 7645,3 тыс. рублей. </w:t>
      </w:r>
    </w:p>
    <w:p w:rsidR="00543F7B" w:rsidRDefault="00543F7B" w:rsidP="00543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</w:t>
      </w:r>
      <w:proofErr w:type="gramEnd"/>
      <w:r>
        <w:rPr>
          <w:rFonts w:ascii="Arial" w:hAnsi="Arial" w:cs="Arial"/>
          <w:color w:val="000000"/>
          <w:sz w:val="24"/>
          <w:szCs w:val="24"/>
        </w:rPr>
        <w:t>убсидия на выполнение муниципального задания – 7645,3 тыс. рублей.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Средства, поступившие за счет субсидии на выполнение муниципального задания направлены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оплату труда работников учреждений культуры с начислением – 7041,3 тыс. рублей;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прочие закупки товаров, работ и услуг для обеспечения государственных (муниципальных) нужд -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604,0 тыс. рублей;</w:t>
      </w:r>
    </w:p>
    <w:p w:rsidR="00543F7B" w:rsidRDefault="00543F7B" w:rsidP="00543F7B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прочие расходы - 165,6 тыс. рублей.</w:t>
      </w:r>
    </w:p>
    <w:p w:rsidR="00543F7B" w:rsidRDefault="00543F7B" w:rsidP="00543F7B">
      <w:pPr>
        <w:spacing w:after="0" w:line="240" w:lineRule="auto"/>
        <w:ind w:firstLineChars="200" w:firstLine="48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543F7B" w:rsidRDefault="00543F7B" w:rsidP="00543F7B">
      <w:pPr>
        <w:spacing w:after="0" w:line="240" w:lineRule="auto"/>
        <w:ind w:firstLineChars="200" w:firstLine="482"/>
        <w:contextualSpacing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По разделу «Межбюджетные трансферты общего характера бюджетам субъектов Российской Федерации и муниципальных образований» подразделу 1403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«Прочие межбюджетные трансферты общего характера» </w:t>
      </w:r>
    </w:p>
    <w:p w:rsidR="00543F7B" w:rsidRDefault="00543F7B" w:rsidP="00543F7B">
      <w:pPr>
        <w:spacing w:after="0" w:line="240" w:lineRule="auto"/>
        <w:ind w:firstLineChars="200" w:firstLine="4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Исполнение составило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165,6 тыс. рублей.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Расходы произведены в соответствии с заключенными соглашениями по передаче полномочий.</w:t>
      </w:r>
    </w:p>
    <w:p w:rsidR="00543F7B" w:rsidRDefault="00543F7B" w:rsidP="00543F7B">
      <w:pPr>
        <w:spacing w:after="0" w:line="240" w:lineRule="auto"/>
        <w:ind w:firstLineChars="200" w:firstLine="480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543F7B" w:rsidRDefault="00543F7B" w:rsidP="00543F7B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:rsidR="00D67BB4" w:rsidRPr="00543F7B" w:rsidRDefault="00D67BB4" w:rsidP="00543F7B">
      <w:bookmarkStart w:id="1" w:name="_GoBack"/>
      <w:bookmarkEnd w:id="1"/>
    </w:p>
    <w:sectPr w:rsidR="00D67BB4" w:rsidRPr="0054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43B5"/>
    <w:multiLevelType w:val="multilevel"/>
    <w:tmpl w:val="82BCF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>
    <w:nsid w:val="50407C32"/>
    <w:multiLevelType w:val="hybridMultilevel"/>
    <w:tmpl w:val="40C0767E"/>
    <w:lvl w:ilvl="0" w:tplc="EB86267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5DC22BA4"/>
    <w:multiLevelType w:val="multilevel"/>
    <w:tmpl w:val="030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A8"/>
    <w:rsid w:val="00137AA8"/>
    <w:rsid w:val="002F6BFE"/>
    <w:rsid w:val="003A1DCB"/>
    <w:rsid w:val="00543F7B"/>
    <w:rsid w:val="006F02B3"/>
    <w:rsid w:val="009214F2"/>
    <w:rsid w:val="00D67BB4"/>
    <w:rsid w:val="00E6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02B3"/>
    <w:rPr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6F02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6F02B3"/>
  </w:style>
  <w:style w:type="paragraph" w:styleId="a5">
    <w:name w:val="List Paragraph"/>
    <w:basedOn w:val="a"/>
    <w:uiPriority w:val="34"/>
    <w:qFormat/>
    <w:rsid w:val="00E65D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qFormat/>
    <w:rsid w:val="00E6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F6BFE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F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214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9214F2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locked/>
    <w:rsid w:val="009214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21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02B3"/>
    <w:rPr>
      <w:color w:val="0000FF"/>
      <w:u w:val="single"/>
    </w:rPr>
  </w:style>
  <w:style w:type="paragraph" w:customStyle="1" w:styleId="a4">
    <w:name w:val="Комментарий"/>
    <w:basedOn w:val="a"/>
    <w:next w:val="a"/>
    <w:uiPriority w:val="99"/>
    <w:rsid w:val="006F02B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character" w:customStyle="1" w:styleId="blk">
    <w:name w:val="blk"/>
    <w:rsid w:val="006F02B3"/>
  </w:style>
  <w:style w:type="paragraph" w:styleId="a5">
    <w:name w:val="List Paragraph"/>
    <w:basedOn w:val="a"/>
    <w:uiPriority w:val="34"/>
    <w:qFormat/>
    <w:rsid w:val="00E65D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qFormat/>
    <w:rsid w:val="00E65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F6BFE"/>
    <w:pPr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3F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737704918032788E-2"/>
          <c:y val="0.12643678160919541"/>
          <c:w val="0.54426229508196722"/>
          <c:h val="0.7528735632183908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Налоговые доходы 20,8% (4541,9,тыс. рублей)</c:v>
                </c:pt>
                <c:pt idx="1">
                  <c:v>Неналоговые доходы 11,7% (604,5 тыс. рублей)</c:v>
                </c:pt>
                <c:pt idx="2">
                  <c:v>Безвозмездные поступления 76,3% (16619,3 тыс. рублей)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20.399999999999999</c:v>
                </c:pt>
                <c:pt idx="1">
                  <c:v>21.9</c:v>
                </c:pt>
                <c:pt idx="2">
                  <c:v>57.7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Налоговые доходы 20,8% (4541,9,тыс. рублей)</c:v>
                </c:pt>
                <c:pt idx="1">
                  <c:v>Неналоговые доходы 11,7% (604,5 тыс. рублей)</c:v>
                </c:pt>
                <c:pt idx="2">
                  <c:v>Безвозмездные поступления 76,3% (16619,3 тыс. рублей)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cat>
            <c:strRef>
              <c:f>Sheet1!$B$1:$D$1</c:f>
              <c:strCache>
                <c:ptCount val="3"/>
                <c:pt idx="0">
                  <c:v>Налоговые доходы 20,8% (4541,9,тыс. рублей)</c:v>
                </c:pt>
                <c:pt idx="1">
                  <c:v>Неналоговые доходы 11,7% (604,5 тыс. рублей)</c:v>
                </c:pt>
                <c:pt idx="2">
                  <c:v>Безвозмездные поступления 76,3% (16619,3 тыс. рублей)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3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409836065573768"/>
          <c:y val="0.21264367816091953"/>
          <c:w val="0.33934426229508197"/>
          <c:h val="0.57471264367816088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829228243021348E-2"/>
          <c:y val="0.30588235294117649"/>
          <c:w val="0.55336617405582922"/>
          <c:h val="0.391176470588235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326">
              <a:noFill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5326">
                <a:noFill/>
              </a:ln>
            </c:spPr>
          </c:dPt>
          <c:dPt>
            <c:idx val="2"/>
            <c:bubble3D val="0"/>
            <c:spPr>
              <a:solidFill>
                <a:srgbClr val="FFCC00"/>
              </a:solidFill>
              <a:ln w="25326">
                <a:noFill/>
              </a:ln>
            </c:spPr>
          </c:dPt>
          <c:dPt>
            <c:idx val="3"/>
            <c:bubble3D val="0"/>
            <c:spPr>
              <a:solidFill>
                <a:srgbClr val="00FFFF"/>
              </a:solidFill>
              <a:ln w="25326">
                <a:noFill/>
              </a:ln>
            </c:spPr>
          </c:dPt>
          <c:dPt>
            <c:idx val="4"/>
            <c:bubble3D val="0"/>
            <c:spPr>
              <a:solidFill>
                <a:srgbClr val="FF6600"/>
              </a:solidFill>
              <a:ln w="25326">
                <a:noFill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25326">
                <a:noFill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68</c:v>
                </c:pt>
                <c:pt idx="1">
                  <c:v>0.7</c:v>
                </c:pt>
                <c:pt idx="2">
                  <c:v>3</c:v>
                </c:pt>
                <c:pt idx="3">
                  <c:v>3.7</c:v>
                </c:pt>
                <c:pt idx="4">
                  <c:v>17.100000000000001</c:v>
                </c:pt>
                <c:pt idx="5">
                  <c:v>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ser>
          <c:idx val="3"/>
          <c:order val="3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CCFF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Sheet1!$B$11:$G$11</c:f>
              <c:numCache>
                <c:formatCode>General</c:formatCode>
                <c:ptCount val="6"/>
              </c:numCache>
            </c:numRef>
          </c:val>
        </c:ser>
        <c:ser>
          <c:idx val="4"/>
          <c:order val="4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660066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Sheet1!$B$12:$G$12</c:f>
              <c:numCache>
                <c:formatCode>General</c:formatCode>
                <c:ptCount val="6"/>
              </c:numCache>
            </c:numRef>
          </c:val>
        </c:ser>
        <c:ser>
          <c:idx val="5"/>
          <c:order val="5"/>
          <c:tx>
            <c:strRef>
              <c:f>Sheet1!$A$13</c:f>
              <c:strCache>
                <c:ptCount val="1"/>
              </c:strCache>
            </c:strRef>
          </c:tx>
          <c:spPr>
            <a:solidFill>
              <a:srgbClr val="FF8080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Sheet1!$B$13:$G$13</c:f>
              <c:numCache>
                <c:formatCode>General</c:formatCode>
                <c:ptCount val="6"/>
              </c:numCache>
            </c:numRef>
          </c:val>
        </c:ser>
        <c:ser>
          <c:idx val="6"/>
          <c:order val="6"/>
          <c:tx>
            <c:strRef>
              <c:f>Sheet1!$A$14</c:f>
              <c:strCache>
                <c:ptCount val="1"/>
              </c:strCache>
            </c:strRef>
          </c:tx>
          <c:spPr>
            <a:solidFill>
              <a:srgbClr val="0066CC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Sheet1!$B$14:$G$14</c:f>
              <c:numCache>
                <c:formatCode>General</c:formatCode>
                <c:ptCount val="6"/>
              </c:numCache>
            </c:numRef>
          </c:val>
        </c:ser>
        <c:ser>
          <c:idx val="7"/>
          <c:order val="7"/>
          <c:tx>
            <c:strRef>
              <c:f>Sheet1!$A$15</c:f>
              <c:strCache>
                <c:ptCount val="1"/>
              </c:strCache>
            </c:strRef>
          </c:tx>
          <c:spPr>
            <a:solidFill>
              <a:srgbClr val="CCCC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Sheet1!$B$15:$G$15</c:f>
              <c:numCache>
                <c:formatCode>General</c:formatCode>
                <c:ptCount val="6"/>
              </c:numCache>
            </c:numRef>
          </c:val>
        </c:ser>
        <c:ser>
          <c:idx val="8"/>
          <c:order val="8"/>
          <c:tx>
            <c:strRef>
              <c:f>Sheet1!$A$22</c:f>
              <c:strCache>
                <c:ptCount val="1"/>
              </c:strCache>
            </c:strRef>
          </c:tx>
          <c:spPr>
            <a:solidFill>
              <a:srgbClr val="000080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Sheet1!$B$22:$G$22</c:f>
              <c:numCache>
                <c:formatCode>General</c:formatCode>
                <c:ptCount val="6"/>
              </c:numCache>
            </c:numRef>
          </c:val>
        </c:ser>
        <c:ser>
          <c:idx val="9"/>
          <c:order val="9"/>
          <c:tx>
            <c:strRef>
              <c:f>Sheet1!$A$23</c:f>
              <c:strCache>
                <c:ptCount val="1"/>
              </c:strCache>
            </c:strRef>
          </c:tx>
          <c:spPr>
            <a:solidFill>
              <a:srgbClr val="FF00FF"/>
            </a:solidFill>
            <a:ln w="12663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0100 "Общегосударственные вопросы"38,7% (8942,8 тыс.рублей)</c:v>
                </c:pt>
                <c:pt idx="1">
                  <c:v>0200 "Национальная оборона" 1,5% (335,3 тыс. рублей)</c:v>
                </c:pt>
                <c:pt idx="2">
                  <c:v>0400 "Национальная экономика 14,0% (3236,9 тыс. рублей)</c:v>
                </c:pt>
                <c:pt idx="3">
                  <c:v>0500"Жилищно-коммунальноехозяйство"11,9% (2753,0 тыс.рублей)</c:v>
                </c:pt>
                <c:pt idx="4">
                  <c:v>0800 "Культура" 33,2% (7645,3тыс.рублей)</c:v>
                </c:pt>
                <c:pt idx="5">
                  <c:v>1400 "Межбюджетные трансферты" 0,7% (165,6тыс. рублей)</c:v>
                </c:pt>
              </c:strCache>
            </c:strRef>
          </c:cat>
          <c:val>
            <c:numRef>
              <c:f>Sheet1!$B$23:$G$23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26">
          <a:noFill/>
        </a:ln>
      </c:spPr>
    </c:plotArea>
    <c:legend>
      <c:legendPos val="r"/>
      <c:layout>
        <c:manualLayout>
          <c:xMode val="edge"/>
          <c:yMode val="edge"/>
          <c:x val="0.66338259441707714"/>
          <c:y val="2.9411764705882353E-2"/>
          <c:w val="0.33004926108374383"/>
          <c:h val="0.93823529411764706"/>
        </c:manualLayout>
      </c:layout>
      <c:overlay val="0"/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4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</dc:creator>
  <cp:lastModifiedBy>Savely</cp:lastModifiedBy>
  <cp:revision>2</cp:revision>
  <dcterms:created xsi:type="dcterms:W3CDTF">2021-05-13T15:44:00Z</dcterms:created>
  <dcterms:modified xsi:type="dcterms:W3CDTF">2021-05-13T15:44:00Z</dcterms:modified>
</cp:coreProperties>
</file>